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A96" w:rsidRPr="00E73A96" w:rsidRDefault="00E73A96" w:rsidP="00E73A96">
      <w:pPr>
        <w:spacing w:before="100" w:beforeAutospacing="1" w:after="100" w:afterAutospacing="1" w:line="240" w:lineRule="auto"/>
        <w:outlineLvl w:val="0"/>
        <w:rPr>
          <w:rFonts w:ascii="Times New Roman" w:eastAsia="Times New Roman" w:hAnsi="Times New Roman" w:cs="Times New Roman"/>
          <w:b/>
          <w:bCs/>
          <w:kern w:val="36"/>
          <w:sz w:val="20"/>
          <w:szCs w:val="20"/>
          <w:lang w:eastAsia="de-DE"/>
        </w:rPr>
      </w:pPr>
      <w:bookmarkStart w:id="0" w:name="typ_2_stecker"/>
      <w:r w:rsidRPr="00E73A96">
        <w:rPr>
          <w:rFonts w:ascii="Times New Roman" w:eastAsia="Times New Roman" w:hAnsi="Times New Roman" w:cs="Times New Roman"/>
          <w:b/>
          <w:bCs/>
          <w:kern w:val="36"/>
          <w:sz w:val="20"/>
          <w:szCs w:val="20"/>
          <w:lang w:eastAsia="de-DE"/>
        </w:rPr>
        <w:t>Typ 2 Stecker</w:t>
      </w:r>
      <w:bookmarkEnd w:id="0"/>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Seit etwa 2010 hat sich </w:t>
      </w:r>
      <w:proofErr w:type="spellStart"/>
      <w:r w:rsidRPr="00E73A96">
        <w:rPr>
          <w:rFonts w:ascii="Times New Roman" w:eastAsia="Times New Roman" w:hAnsi="Times New Roman" w:cs="Times New Roman"/>
          <w:sz w:val="20"/>
          <w:szCs w:val="20"/>
          <w:lang w:eastAsia="de-DE"/>
        </w:rPr>
        <w:t>herauskristalisiert</w:t>
      </w:r>
      <w:proofErr w:type="spellEnd"/>
      <w:r w:rsidRPr="00E73A96">
        <w:rPr>
          <w:rFonts w:ascii="Times New Roman" w:eastAsia="Times New Roman" w:hAnsi="Times New Roman" w:cs="Times New Roman"/>
          <w:sz w:val="20"/>
          <w:szCs w:val="20"/>
          <w:lang w:eastAsia="de-DE"/>
        </w:rPr>
        <w:t xml:space="preserve"> </w:t>
      </w:r>
      <w:proofErr w:type="spellStart"/>
      <w:r w:rsidRPr="00E73A96">
        <w:rPr>
          <w:rFonts w:ascii="Times New Roman" w:eastAsia="Times New Roman" w:hAnsi="Times New Roman" w:cs="Times New Roman"/>
          <w:sz w:val="20"/>
          <w:szCs w:val="20"/>
          <w:lang w:eastAsia="de-DE"/>
        </w:rPr>
        <w:t>daß</w:t>
      </w:r>
      <w:proofErr w:type="spellEnd"/>
      <w:r w:rsidRPr="00E73A96">
        <w:rPr>
          <w:rFonts w:ascii="Times New Roman" w:eastAsia="Times New Roman" w:hAnsi="Times New Roman" w:cs="Times New Roman"/>
          <w:sz w:val="20"/>
          <w:szCs w:val="20"/>
          <w:lang w:eastAsia="de-DE"/>
        </w:rPr>
        <w:t xml:space="preserve"> die deutschen Automobilhersteller den Stecker Typ 2 (im Volksmund auch „</w:t>
      </w:r>
      <w:proofErr w:type="spellStart"/>
      <w:r w:rsidRPr="00E73A96">
        <w:rPr>
          <w:rFonts w:ascii="Times New Roman" w:eastAsia="Times New Roman" w:hAnsi="Times New Roman" w:cs="Times New Roman"/>
          <w:sz w:val="20"/>
          <w:szCs w:val="20"/>
          <w:lang w:eastAsia="de-DE"/>
        </w:rPr>
        <w:t>Mennekes</w:t>
      </w:r>
      <w:proofErr w:type="spellEnd"/>
      <w:r w:rsidRPr="00E73A96">
        <w:rPr>
          <w:rFonts w:ascii="Times New Roman" w:eastAsia="Times New Roman" w:hAnsi="Times New Roman" w:cs="Times New Roman"/>
          <w:sz w:val="20"/>
          <w:szCs w:val="20"/>
          <w:lang w:eastAsia="de-DE"/>
        </w:rPr>
        <w:t xml:space="preserve">-Stecker“ genannt) für zukünftige Elektrofahrzeuge </w:t>
      </w:r>
      <w:proofErr w:type="spellStart"/>
      <w:r w:rsidRPr="00E73A96">
        <w:rPr>
          <w:rFonts w:ascii="Times New Roman" w:eastAsia="Times New Roman" w:hAnsi="Times New Roman" w:cs="Times New Roman"/>
          <w:sz w:val="20"/>
          <w:szCs w:val="20"/>
          <w:lang w:eastAsia="de-DE"/>
        </w:rPr>
        <w:t>untertützen</w:t>
      </w:r>
      <w:proofErr w:type="spellEnd"/>
      <w:r w:rsidRPr="00E73A96">
        <w:rPr>
          <w:rFonts w:ascii="Times New Roman" w:eastAsia="Times New Roman" w:hAnsi="Times New Roman" w:cs="Times New Roman"/>
          <w:sz w:val="20"/>
          <w:szCs w:val="20"/>
          <w:lang w:eastAsia="de-DE"/>
        </w:rPr>
        <w:t xml:space="preserve"> wird. </w:t>
      </w:r>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Diese Seite soll alle Verfügbaren Fakten dazu sammeln. </w:t>
      </w:r>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Der Normentwurf von MENNEKES war die Basis für die Anwendungsregel VDE-AR-E-2623-2-2 des VDE, die als Übergangslösung dient. Das Stecksystem wurde zur Normung beim IEC vorgestellt. Das System wird in der neuen, weltweit gültigen Norm IEC 62196-2 als Ladesteckvorrichtung genormt. </w:t>
      </w:r>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Der Stecker ist geeignet für Ladeströme von 13A bis 63A, für einphasige bis dreiphasige Anschlüsse. </w:t>
      </w:r>
    </w:p>
    <w:p w:rsidR="00E73A96" w:rsidRPr="00E73A96" w:rsidRDefault="00E73A96" w:rsidP="00E73A96">
      <w:pPr>
        <w:spacing w:before="100" w:beforeAutospacing="1" w:after="100" w:afterAutospacing="1" w:line="240" w:lineRule="auto"/>
        <w:outlineLvl w:val="1"/>
        <w:rPr>
          <w:rFonts w:ascii="Times New Roman" w:eastAsia="Times New Roman" w:hAnsi="Times New Roman" w:cs="Times New Roman"/>
          <w:b/>
          <w:bCs/>
          <w:sz w:val="20"/>
          <w:szCs w:val="20"/>
          <w:lang w:eastAsia="de-DE"/>
        </w:rPr>
      </w:pPr>
      <w:bookmarkStart w:id="1" w:name="ladestecker"/>
      <w:r w:rsidRPr="00E73A96">
        <w:rPr>
          <w:rFonts w:ascii="Times New Roman" w:eastAsia="Times New Roman" w:hAnsi="Times New Roman" w:cs="Times New Roman"/>
          <w:b/>
          <w:bCs/>
          <w:sz w:val="20"/>
          <w:szCs w:val="20"/>
          <w:lang w:eastAsia="de-DE"/>
        </w:rPr>
        <w:t>Ladestecker</w:t>
      </w:r>
      <w:bookmarkEnd w:id="1"/>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Dies ist der Stecker den man in die </w:t>
      </w:r>
      <w:proofErr w:type="spellStart"/>
      <w:r w:rsidRPr="00E73A96">
        <w:rPr>
          <w:rFonts w:ascii="Times New Roman" w:eastAsia="Times New Roman" w:hAnsi="Times New Roman" w:cs="Times New Roman"/>
          <w:sz w:val="20"/>
          <w:szCs w:val="20"/>
          <w:lang w:eastAsia="de-DE"/>
        </w:rPr>
        <w:t>Ladedose</w:t>
      </w:r>
      <w:proofErr w:type="spellEnd"/>
      <w:r w:rsidRPr="00E73A96">
        <w:rPr>
          <w:rFonts w:ascii="Times New Roman" w:eastAsia="Times New Roman" w:hAnsi="Times New Roman" w:cs="Times New Roman"/>
          <w:sz w:val="20"/>
          <w:szCs w:val="20"/>
          <w:lang w:eastAsia="de-DE"/>
        </w:rPr>
        <w:t xml:space="preserve"> der Ladesäule steckt. Er hat sieben Kontakte (männlich). </w:t>
      </w:r>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857500" cy="2409825"/>
            <wp:effectExtent l="0" t="0" r="0" b="0"/>
            <wp:wrapSquare wrapText="bothSides"/>
            <wp:docPr id="4" name="Bild 2" descr="http://elweb.info/dokuwiki/lib/exe/fetch.php?w=300&amp;media=typ2_ladestecker_kontak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lweb.info/dokuwiki/lib/exe/fetch.php?w=300&amp;media=typ2_ladestecker_kontakte.png"/>
                    <pic:cNvPicPr>
                      <a:picLocks noChangeAspect="1" noChangeArrowheads="1"/>
                    </pic:cNvPicPr>
                  </pic:nvPicPr>
                  <pic:blipFill>
                    <a:blip r:embed="rId4" cstate="print"/>
                    <a:srcRect/>
                    <a:stretch>
                      <a:fillRect/>
                    </a:stretch>
                  </pic:blipFill>
                  <pic:spPr bwMode="auto">
                    <a:xfrm>
                      <a:off x="0" y="0"/>
                      <a:ext cx="2857500" cy="2409825"/>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4"/>
          <w:szCs w:val="24"/>
          <w:lang w:eastAsia="de-DE"/>
        </w:rPr>
        <w:drawing>
          <wp:inline distT="0" distB="0" distL="0" distR="0">
            <wp:extent cx="2854325" cy="1160780"/>
            <wp:effectExtent l="19050" t="0" r="3175" b="0"/>
            <wp:docPr id="1" name="Bild 1" descr="http://elweb.info/dokuwiki/lib/exe/fetch.php?w=300&amp;media=typ2_ladestecker_seitl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web.info/dokuwiki/lib/exe/fetch.php?w=300&amp;media=typ2_ladestecker_seitlich.png"/>
                    <pic:cNvPicPr>
                      <a:picLocks noChangeAspect="1" noChangeArrowheads="1"/>
                    </pic:cNvPicPr>
                  </pic:nvPicPr>
                  <pic:blipFill>
                    <a:blip r:embed="rId5" cstate="print"/>
                    <a:srcRect/>
                    <a:stretch>
                      <a:fillRect/>
                    </a:stretch>
                  </pic:blipFill>
                  <pic:spPr bwMode="auto">
                    <a:xfrm>
                      <a:off x="0" y="0"/>
                      <a:ext cx="2854325" cy="1160780"/>
                    </a:xfrm>
                    <a:prstGeom prst="rect">
                      <a:avLst/>
                    </a:prstGeom>
                    <a:noFill/>
                    <a:ln w="9525">
                      <a:noFill/>
                      <a:miter lim="800000"/>
                      <a:headEnd/>
                      <a:tailEnd/>
                    </a:ln>
                  </pic:spPr>
                </pic:pic>
              </a:graphicData>
            </a:graphic>
          </wp:inline>
        </w:drawing>
      </w:r>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drawing>
          <wp:inline distT="0" distB="0" distL="0" distR="0">
            <wp:extent cx="2854325" cy="1153160"/>
            <wp:effectExtent l="19050" t="0" r="0" b="0"/>
            <wp:docPr id="2" name="Bild 2" descr="http://elweb.info/dokuwiki/lib/exe/fetch.php?w=300&amp;media=typ2_ladestecker_schrae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lweb.info/dokuwiki/lib/exe/fetch.php?w=300&amp;media=typ2_ladestecker_schraeg.png"/>
                    <pic:cNvPicPr>
                      <a:picLocks noChangeAspect="1" noChangeArrowheads="1"/>
                    </pic:cNvPicPr>
                  </pic:nvPicPr>
                  <pic:blipFill>
                    <a:blip r:embed="rId6" cstate="print"/>
                    <a:srcRect/>
                    <a:stretch>
                      <a:fillRect/>
                    </a:stretch>
                  </pic:blipFill>
                  <pic:spPr bwMode="auto">
                    <a:xfrm>
                      <a:off x="0" y="0"/>
                      <a:ext cx="2854325" cy="1153160"/>
                    </a:xfrm>
                    <a:prstGeom prst="rect">
                      <a:avLst/>
                    </a:prstGeom>
                    <a:noFill/>
                    <a:ln w="9525">
                      <a:noFill/>
                      <a:miter lim="800000"/>
                      <a:headEnd/>
                      <a:tailEnd/>
                    </a:ln>
                  </pic:spPr>
                </pic:pic>
              </a:graphicData>
            </a:graphic>
          </wp:inline>
        </w:drawing>
      </w:r>
    </w:p>
    <w:p w:rsidR="00E73A96" w:rsidRPr="00E73A96" w:rsidRDefault="00E73A96" w:rsidP="00E73A96">
      <w:pPr>
        <w:spacing w:before="100" w:beforeAutospacing="1" w:after="100" w:afterAutospacing="1" w:line="240" w:lineRule="auto"/>
        <w:outlineLvl w:val="1"/>
        <w:rPr>
          <w:rFonts w:ascii="Times New Roman" w:eastAsia="Times New Roman" w:hAnsi="Times New Roman" w:cs="Times New Roman"/>
          <w:b/>
          <w:bCs/>
          <w:sz w:val="20"/>
          <w:szCs w:val="20"/>
          <w:lang w:eastAsia="de-DE"/>
        </w:rPr>
      </w:pPr>
      <w:bookmarkStart w:id="2" w:name="ladekupplung"/>
      <w:r w:rsidRPr="00E73A96">
        <w:rPr>
          <w:rFonts w:ascii="Times New Roman" w:eastAsia="Times New Roman" w:hAnsi="Times New Roman" w:cs="Times New Roman"/>
          <w:b/>
          <w:bCs/>
          <w:sz w:val="20"/>
          <w:szCs w:val="20"/>
          <w:lang w:eastAsia="de-DE"/>
        </w:rPr>
        <w:t>Ladekupplung</w:t>
      </w:r>
      <w:bookmarkEnd w:id="2"/>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Die Ladekupplung ist auf der anderen Seite der Ladeleitung und wird in den am Fahrzeug montierten Gerätestecker gesteckt. Sie hat sieben Kontakte (weiblich). </w:t>
      </w:r>
    </w:p>
    <w:p w:rsidR="00E73A96" w:rsidRPr="00E73A96" w:rsidRDefault="00E73A96" w:rsidP="00E73A96">
      <w:pPr>
        <w:spacing w:before="100" w:beforeAutospacing="1" w:after="100" w:afterAutospacing="1" w:line="240" w:lineRule="auto"/>
        <w:outlineLvl w:val="0"/>
        <w:rPr>
          <w:rFonts w:ascii="Times New Roman" w:eastAsia="Times New Roman" w:hAnsi="Times New Roman" w:cs="Times New Roman"/>
          <w:b/>
          <w:bCs/>
          <w:kern w:val="36"/>
          <w:sz w:val="20"/>
          <w:szCs w:val="20"/>
          <w:lang w:eastAsia="de-DE"/>
        </w:rPr>
      </w:pPr>
      <w:bookmarkStart w:id="3" w:name="steckerbelegung"/>
      <w:proofErr w:type="spellStart"/>
      <w:r w:rsidRPr="00E73A96">
        <w:rPr>
          <w:rFonts w:ascii="Times New Roman" w:eastAsia="Times New Roman" w:hAnsi="Times New Roman" w:cs="Times New Roman"/>
          <w:b/>
          <w:bCs/>
          <w:kern w:val="36"/>
          <w:sz w:val="20"/>
          <w:szCs w:val="20"/>
          <w:lang w:eastAsia="de-DE"/>
        </w:rPr>
        <w:t>Steckerbelegung</w:t>
      </w:r>
      <w:bookmarkEnd w:id="3"/>
      <w:proofErr w:type="spellEnd"/>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Der Stecker hat sieben Kontakte: </w:t>
      </w:r>
    </w:p>
    <w:tbl>
      <w:tblPr>
        <w:tblW w:w="0" w:type="auto"/>
        <w:tblCellSpacing w:w="15" w:type="dxa"/>
        <w:tblCellMar>
          <w:top w:w="15" w:type="dxa"/>
          <w:left w:w="15" w:type="dxa"/>
          <w:bottom w:w="15" w:type="dxa"/>
          <w:right w:w="15" w:type="dxa"/>
        </w:tblCellMar>
        <w:tblLook w:val="04A0"/>
      </w:tblPr>
      <w:tblGrid>
        <w:gridCol w:w="1164"/>
        <w:gridCol w:w="2525"/>
      </w:tblGrid>
      <w:tr w:rsidR="00E73A96" w:rsidRPr="00E73A96" w:rsidTr="00E73A96">
        <w:trPr>
          <w:tblCellSpacing w:w="15" w:type="dxa"/>
        </w:trPr>
        <w:tc>
          <w:tcPr>
            <w:tcW w:w="0" w:type="auto"/>
            <w:vAlign w:val="center"/>
            <w:hideMark/>
          </w:tcPr>
          <w:p w:rsidR="00E73A96" w:rsidRPr="00E73A96" w:rsidRDefault="00E73A96" w:rsidP="00E73A96">
            <w:pPr>
              <w:spacing w:after="0" w:line="240" w:lineRule="auto"/>
              <w:jc w:val="center"/>
              <w:rPr>
                <w:rFonts w:ascii="Times New Roman" w:eastAsia="Times New Roman" w:hAnsi="Times New Roman" w:cs="Times New Roman"/>
                <w:b/>
                <w:bCs/>
                <w:sz w:val="20"/>
                <w:szCs w:val="20"/>
                <w:lang w:eastAsia="de-DE"/>
              </w:rPr>
            </w:pPr>
            <w:r w:rsidRPr="00E73A96">
              <w:rPr>
                <w:rFonts w:ascii="Times New Roman" w:eastAsia="Times New Roman" w:hAnsi="Times New Roman" w:cs="Times New Roman"/>
                <w:b/>
                <w:bCs/>
                <w:sz w:val="20"/>
                <w:szCs w:val="20"/>
                <w:lang w:eastAsia="de-DE"/>
              </w:rPr>
              <w:t xml:space="preserve">Bezeichnung </w:t>
            </w:r>
          </w:p>
        </w:tc>
        <w:tc>
          <w:tcPr>
            <w:tcW w:w="0" w:type="auto"/>
            <w:vAlign w:val="center"/>
            <w:hideMark/>
          </w:tcPr>
          <w:p w:rsidR="00E73A96" w:rsidRPr="00E73A96" w:rsidRDefault="00E73A96" w:rsidP="00E73A96">
            <w:pPr>
              <w:spacing w:after="0" w:line="240" w:lineRule="auto"/>
              <w:jc w:val="center"/>
              <w:rPr>
                <w:rFonts w:ascii="Times New Roman" w:eastAsia="Times New Roman" w:hAnsi="Times New Roman" w:cs="Times New Roman"/>
                <w:b/>
                <w:bCs/>
                <w:sz w:val="20"/>
                <w:szCs w:val="20"/>
                <w:lang w:eastAsia="de-DE"/>
              </w:rPr>
            </w:pPr>
            <w:r w:rsidRPr="00E73A96">
              <w:rPr>
                <w:rFonts w:ascii="Times New Roman" w:eastAsia="Times New Roman" w:hAnsi="Times New Roman" w:cs="Times New Roman"/>
                <w:b/>
                <w:bCs/>
                <w:sz w:val="20"/>
                <w:szCs w:val="20"/>
                <w:lang w:eastAsia="de-DE"/>
              </w:rPr>
              <w:t xml:space="preserve">Beschreibung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L1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Phase L1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L2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Phase L2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L3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Phase L3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N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proofErr w:type="spellStart"/>
            <w:r w:rsidRPr="00E73A96">
              <w:rPr>
                <w:rFonts w:ascii="Times New Roman" w:eastAsia="Times New Roman" w:hAnsi="Times New Roman" w:cs="Times New Roman"/>
                <w:sz w:val="20"/>
                <w:szCs w:val="20"/>
                <w:lang w:eastAsia="de-DE"/>
              </w:rPr>
              <w:t>Nulleiter</w:t>
            </w:r>
            <w:proofErr w:type="spellEnd"/>
            <w:r w:rsidRPr="00E73A96">
              <w:rPr>
                <w:rFonts w:ascii="Times New Roman" w:eastAsia="Times New Roman" w:hAnsi="Times New Roman" w:cs="Times New Roman"/>
                <w:sz w:val="20"/>
                <w:szCs w:val="20"/>
                <w:lang w:eastAsia="de-DE"/>
              </w:rPr>
              <w:t xml:space="preserve">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PE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proofErr w:type="spellStart"/>
            <w:r w:rsidRPr="00E73A96">
              <w:rPr>
                <w:rFonts w:ascii="Times New Roman" w:eastAsia="Times New Roman" w:hAnsi="Times New Roman" w:cs="Times New Roman"/>
                <w:sz w:val="20"/>
                <w:szCs w:val="20"/>
                <w:lang w:eastAsia="de-DE"/>
              </w:rPr>
              <w:t>Protective</w:t>
            </w:r>
            <w:proofErr w:type="spellEnd"/>
            <w:r w:rsidRPr="00E73A96">
              <w:rPr>
                <w:rFonts w:ascii="Times New Roman" w:eastAsia="Times New Roman" w:hAnsi="Times New Roman" w:cs="Times New Roman"/>
                <w:sz w:val="20"/>
                <w:szCs w:val="20"/>
                <w:lang w:eastAsia="de-DE"/>
              </w:rPr>
              <w:t xml:space="preserve"> Earth (Schutzerde)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CP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proofErr w:type="spellStart"/>
            <w:r w:rsidRPr="00E73A96">
              <w:rPr>
                <w:rFonts w:ascii="Times New Roman" w:eastAsia="Times New Roman" w:hAnsi="Times New Roman" w:cs="Times New Roman"/>
                <w:sz w:val="20"/>
                <w:szCs w:val="20"/>
                <w:lang w:eastAsia="de-DE"/>
              </w:rPr>
              <w:t>Control</w:t>
            </w:r>
            <w:proofErr w:type="spellEnd"/>
            <w:r w:rsidRPr="00E73A96">
              <w:rPr>
                <w:rFonts w:ascii="Times New Roman" w:eastAsia="Times New Roman" w:hAnsi="Times New Roman" w:cs="Times New Roman"/>
                <w:sz w:val="20"/>
                <w:szCs w:val="20"/>
                <w:lang w:eastAsia="de-DE"/>
              </w:rPr>
              <w:t xml:space="preserve"> Pilot (Steuerpilot)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PP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proofErr w:type="spellStart"/>
            <w:r w:rsidRPr="00E73A96">
              <w:rPr>
                <w:rFonts w:ascii="Times New Roman" w:eastAsia="Times New Roman" w:hAnsi="Times New Roman" w:cs="Times New Roman"/>
                <w:sz w:val="20"/>
                <w:szCs w:val="20"/>
                <w:lang w:eastAsia="de-DE"/>
              </w:rPr>
              <w:t>Proximity</w:t>
            </w:r>
            <w:proofErr w:type="spellEnd"/>
            <w:r w:rsidRPr="00E73A96">
              <w:rPr>
                <w:rFonts w:ascii="Times New Roman" w:eastAsia="Times New Roman" w:hAnsi="Times New Roman" w:cs="Times New Roman"/>
                <w:sz w:val="20"/>
                <w:szCs w:val="20"/>
                <w:lang w:eastAsia="de-DE"/>
              </w:rPr>
              <w:t xml:space="preserve"> (Näherungskontakt) </w:t>
            </w:r>
          </w:p>
        </w:tc>
      </w:tr>
    </w:tbl>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proofErr w:type="spellStart"/>
      <w:r w:rsidRPr="00E73A96">
        <w:rPr>
          <w:rFonts w:ascii="Times New Roman" w:eastAsia="Times New Roman" w:hAnsi="Times New Roman" w:cs="Times New Roman"/>
          <w:sz w:val="20"/>
          <w:szCs w:val="20"/>
          <w:lang w:eastAsia="de-DE"/>
        </w:rPr>
        <w:t>Steckerbelegung</w:t>
      </w:r>
      <w:proofErr w:type="spellEnd"/>
      <w:r w:rsidRPr="00E73A96">
        <w:rPr>
          <w:rFonts w:ascii="Times New Roman" w:eastAsia="Times New Roman" w:hAnsi="Times New Roman" w:cs="Times New Roman"/>
          <w:sz w:val="20"/>
          <w:szCs w:val="20"/>
          <w:lang w:eastAsia="de-DE"/>
        </w:rPr>
        <w:t xml:space="preserve"> siehe </w:t>
      </w:r>
      <w:hyperlink r:id="rId7" w:tooltip="http://www.mennekes.de/390.html" w:history="1">
        <w:r w:rsidRPr="00E73A96">
          <w:rPr>
            <w:rFonts w:ascii="Times New Roman" w:eastAsia="Times New Roman" w:hAnsi="Times New Roman" w:cs="Times New Roman"/>
            <w:color w:val="0000FF"/>
            <w:sz w:val="20"/>
            <w:szCs w:val="20"/>
            <w:u w:val="single"/>
            <w:lang w:eastAsia="de-DE"/>
          </w:rPr>
          <w:t>http://www.mennekes.de/390.html</w:t>
        </w:r>
      </w:hyperlink>
      <w:r w:rsidRPr="00E73A96">
        <w:rPr>
          <w:rFonts w:ascii="Times New Roman" w:eastAsia="Times New Roman" w:hAnsi="Times New Roman" w:cs="Times New Roman"/>
          <w:sz w:val="20"/>
          <w:szCs w:val="20"/>
          <w:lang w:eastAsia="de-DE"/>
        </w:rPr>
        <w:t xml:space="preserve">. </w:t>
      </w:r>
    </w:p>
    <w:p w:rsidR="00E73A96" w:rsidRDefault="00E73A96" w:rsidP="00E73A96">
      <w:pPr>
        <w:spacing w:before="100" w:beforeAutospacing="1" w:after="100" w:afterAutospacing="1" w:line="240" w:lineRule="auto"/>
        <w:rPr>
          <w:rFonts w:ascii="Times New Roman" w:eastAsia="Times New Roman" w:hAnsi="Times New Roman" w:cs="Times New Roman"/>
          <w:sz w:val="24"/>
          <w:szCs w:val="24"/>
          <w:lang w:eastAsia="de-DE"/>
        </w:rPr>
      </w:pPr>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lastRenderedPageBreak/>
        <w:t xml:space="preserve">Die maximale Stromstärke wird über einen Widerstand zwischen PE und PP kodiert: </w:t>
      </w:r>
    </w:p>
    <w:tbl>
      <w:tblPr>
        <w:tblW w:w="0" w:type="auto"/>
        <w:tblCellSpacing w:w="15" w:type="dxa"/>
        <w:tblCellMar>
          <w:top w:w="15" w:type="dxa"/>
          <w:left w:w="15" w:type="dxa"/>
          <w:bottom w:w="15" w:type="dxa"/>
          <w:right w:w="15" w:type="dxa"/>
        </w:tblCellMar>
        <w:tblLook w:val="04A0"/>
      </w:tblPr>
      <w:tblGrid>
        <w:gridCol w:w="1087"/>
        <w:gridCol w:w="3164"/>
      </w:tblGrid>
      <w:tr w:rsidR="00E73A96" w:rsidRPr="00E73A96" w:rsidTr="00E73A96">
        <w:trPr>
          <w:tblCellSpacing w:w="15" w:type="dxa"/>
        </w:trPr>
        <w:tc>
          <w:tcPr>
            <w:tcW w:w="0" w:type="auto"/>
            <w:vAlign w:val="center"/>
            <w:hideMark/>
          </w:tcPr>
          <w:p w:rsidR="00E73A96" w:rsidRPr="00E73A96" w:rsidRDefault="00E73A96" w:rsidP="00E73A96">
            <w:pPr>
              <w:spacing w:after="0" w:line="240" w:lineRule="auto"/>
              <w:jc w:val="center"/>
              <w:rPr>
                <w:rFonts w:ascii="Times New Roman" w:eastAsia="Times New Roman" w:hAnsi="Times New Roman" w:cs="Times New Roman"/>
                <w:b/>
                <w:bCs/>
                <w:sz w:val="20"/>
                <w:szCs w:val="20"/>
                <w:lang w:eastAsia="de-DE"/>
              </w:rPr>
            </w:pPr>
            <w:r w:rsidRPr="00E73A96">
              <w:rPr>
                <w:rFonts w:ascii="Times New Roman" w:eastAsia="Times New Roman" w:hAnsi="Times New Roman" w:cs="Times New Roman"/>
                <w:b/>
                <w:bCs/>
                <w:sz w:val="20"/>
                <w:szCs w:val="20"/>
                <w:lang w:eastAsia="de-DE"/>
              </w:rPr>
              <w:t xml:space="preserve">Widerstand </w:t>
            </w:r>
          </w:p>
        </w:tc>
        <w:tc>
          <w:tcPr>
            <w:tcW w:w="0" w:type="auto"/>
            <w:vAlign w:val="center"/>
            <w:hideMark/>
          </w:tcPr>
          <w:p w:rsidR="00E73A96" w:rsidRPr="00E73A96" w:rsidRDefault="00E73A96" w:rsidP="00E73A96">
            <w:pPr>
              <w:spacing w:after="0" w:line="240" w:lineRule="auto"/>
              <w:jc w:val="center"/>
              <w:rPr>
                <w:rFonts w:ascii="Times New Roman" w:eastAsia="Times New Roman" w:hAnsi="Times New Roman" w:cs="Times New Roman"/>
                <w:b/>
                <w:bCs/>
                <w:sz w:val="20"/>
                <w:szCs w:val="20"/>
                <w:lang w:eastAsia="de-DE"/>
              </w:rPr>
            </w:pPr>
            <w:r w:rsidRPr="00E73A96">
              <w:rPr>
                <w:rFonts w:ascii="Times New Roman" w:eastAsia="Times New Roman" w:hAnsi="Times New Roman" w:cs="Times New Roman"/>
                <w:b/>
                <w:bCs/>
                <w:sz w:val="20"/>
                <w:szCs w:val="20"/>
                <w:lang w:eastAsia="de-DE"/>
              </w:rPr>
              <w:t xml:space="preserve">Stromstärke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1k5 Ohm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16A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680 Ohm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20A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220 Ohm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32A </w:t>
            </w:r>
          </w:p>
        </w:tc>
      </w:tr>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100 Ohm </w:t>
            </w:r>
          </w:p>
        </w:tc>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63A Drehstrom / 70A Einphasenstrom </w:t>
            </w:r>
          </w:p>
        </w:tc>
      </w:tr>
    </w:tbl>
    <w:p w:rsidR="00E73A96" w:rsidRPr="00E73A96" w:rsidRDefault="00E73A96" w:rsidP="00E73A96">
      <w:pPr>
        <w:spacing w:before="100" w:beforeAutospacing="1" w:after="100" w:afterAutospacing="1" w:line="240" w:lineRule="auto"/>
        <w:outlineLvl w:val="0"/>
        <w:rPr>
          <w:rFonts w:ascii="Times New Roman" w:eastAsia="Times New Roman" w:hAnsi="Times New Roman" w:cs="Times New Roman"/>
          <w:b/>
          <w:bCs/>
          <w:kern w:val="36"/>
          <w:sz w:val="20"/>
          <w:szCs w:val="20"/>
          <w:lang w:val="en-US" w:eastAsia="de-DE"/>
        </w:rPr>
      </w:pPr>
      <w:bookmarkStart w:id="4" w:name="adapter_5-pol_cee_auf_typ_2"/>
      <w:r w:rsidRPr="00E73A96">
        <w:rPr>
          <w:rFonts w:ascii="Times New Roman" w:eastAsia="Times New Roman" w:hAnsi="Times New Roman" w:cs="Times New Roman"/>
          <w:b/>
          <w:bCs/>
          <w:kern w:val="36"/>
          <w:sz w:val="20"/>
          <w:szCs w:val="20"/>
          <w:lang w:val="en-US" w:eastAsia="de-DE"/>
        </w:rPr>
        <w:t xml:space="preserve">Adapter 5-pol CEE auf </w:t>
      </w:r>
      <w:proofErr w:type="spellStart"/>
      <w:r w:rsidRPr="00E73A96">
        <w:rPr>
          <w:rFonts w:ascii="Times New Roman" w:eastAsia="Times New Roman" w:hAnsi="Times New Roman" w:cs="Times New Roman"/>
          <w:b/>
          <w:bCs/>
          <w:kern w:val="36"/>
          <w:sz w:val="20"/>
          <w:szCs w:val="20"/>
          <w:lang w:val="en-US" w:eastAsia="de-DE"/>
        </w:rPr>
        <w:t>Typ</w:t>
      </w:r>
      <w:proofErr w:type="spellEnd"/>
      <w:r w:rsidRPr="00E73A96">
        <w:rPr>
          <w:rFonts w:ascii="Times New Roman" w:eastAsia="Times New Roman" w:hAnsi="Times New Roman" w:cs="Times New Roman"/>
          <w:b/>
          <w:bCs/>
          <w:kern w:val="36"/>
          <w:sz w:val="20"/>
          <w:szCs w:val="20"/>
          <w:lang w:val="en-US" w:eastAsia="de-DE"/>
        </w:rPr>
        <w:t xml:space="preserve"> 2</w:t>
      </w:r>
      <w:bookmarkEnd w:id="4"/>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Dieser Adapter ist gedacht um Fahrzeuge ohne Kommunikation (CEE Seite) an Ladestationen mit Typ 2 Anschluss zu laden. Eine Umgekehrte Version um z.B. neue Fahrzeuge mit Typ2 Anschluss an Drehstromsteckdosen (CEE) zu laden ist etwas komplexer. </w:t>
      </w:r>
    </w:p>
    <w:tbl>
      <w:tblPr>
        <w:tblW w:w="0" w:type="auto"/>
        <w:tblCellSpacing w:w="15" w:type="dxa"/>
        <w:tblCellMar>
          <w:top w:w="15" w:type="dxa"/>
          <w:left w:w="15" w:type="dxa"/>
          <w:bottom w:w="15" w:type="dxa"/>
          <w:right w:w="15" w:type="dxa"/>
        </w:tblCellMar>
        <w:tblLook w:val="04A0"/>
      </w:tblPr>
      <w:tblGrid>
        <w:gridCol w:w="8347"/>
      </w:tblGrid>
      <w:tr w:rsidR="00E73A96" w:rsidRPr="00E73A96" w:rsidTr="00E73A96">
        <w:trPr>
          <w:tblCellSpacing w:w="15" w:type="dxa"/>
        </w:trPr>
        <w:tc>
          <w:tcPr>
            <w:tcW w:w="0" w:type="auto"/>
            <w:vAlign w:val="center"/>
            <w:hideMark/>
          </w:tcPr>
          <w:p w:rsidR="00E73A96" w:rsidRPr="00E73A96" w:rsidRDefault="00E73A96" w:rsidP="00E73A96">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drawing>
                <wp:inline distT="0" distB="0" distL="0" distR="0">
                  <wp:extent cx="5224145" cy="2520315"/>
                  <wp:effectExtent l="19050" t="0" r="0" b="0"/>
                  <wp:docPr id="3" name="Bild 3" descr="http://elweb.info/dokuwiki/lib/exe/fetch.php?media=adapter_typ2_c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lweb.info/dokuwiki/lib/exe/fetch.php?media=adapter_typ2_cee.png"/>
                          <pic:cNvPicPr>
                            <a:picLocks noChangeAspect="1" noChangeArrowheads="1"/>
                          </pic:cNvPicPr>
                        </pic:nvPicPr>
                        <pic:blipFill>
                          <a:blip r:embed="rId8" cstate="print"/>
                          <a:srcRect/>
                          <a:stretch>
                            <a:fillRect/>
                          </a:stretch>
                        </pic:blipFill>
                        <pic:spPr bwMode="auto">
                          <a:xfrm>
                            <a:off x="0" y="0"/>
                            <a:ext cx="5224145" cy="2520315"/>
                          </a:xfrm>
                          <a:prstGeom prst="rect">
                            <a:avLst/>
                          </a:prstGeom>
                          <a:noFill/>
                          <a:ln w="9525">
                            <a:noFill/>
                            <a:miter lim="800000"/>
                            <a:headEnd/>
                            <a:tailEnd/>
                          </a:ln>
                        </pic:spPr>
                      </pic:pic>
                    </a:graphicData>
                  </a:graphic>
                </wp:inline>
              </w:drawing>
            </w:r>
          </w:p>
        </w:tc>
      </w:tr>
    </w:tbl>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Über den Kontakt CP wird die Ladung freigegeben und beendet. Laut bisheriger Information reicht eine simple Reihenschaltung aus Diode und Widerstand zwischen CP und PE. Die Anode der Diode (z.B. 1N4007) wird an den CP-Kontakt der Ladesäule verbunden. An die Kathode wird der Widerstand (880 Ohm) angeschlossen. Die andere Seite des Widerstands wird über einen Schalter zu PE verbunden. Bei geschlossenem Schalter ist die Ladung freigegeben. Der Widerstand zwischen PP und PE (R_PP) bestimmt den maximalen Strom für den Adapter. </w:t>
      </w:r>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Diese Schaltung wurde erfolgreich mit RWE-Ladestationen ausprobiert. </w:t>
      </w:r>
    </w:p>
    <w:p w:rsidR="00E73A96" w:rsidRPr="00E73A96" w:rsidRDefault="00E73A96" w:rsidP="00E73A96">
      <w:pPr>
        <w:spacing w:before="100" w:beforeAutospacing="1" w:after="100" w:afterAutospacing="1" w:line="240" w:lineRule="auto"/>
        <w:rPr>
          <w:rFonts w:ascii="Times New Roman" w:eastAsia="Times New Roman" w:hAnsi="Times New Roman" w:cs="Times New Roman"/>
          <w:sz w:val="20"/>
          <w:szCs w:val="20"/>
          <w:lang w:eastAsia="de-DE"/>
        </w:rPr>
      </w:pPr>
      <w:r w:rsidRPr="00E73A96">
        <w:rPr>
          <w:rFonts w:ascii="Times New Roman" w:eastAsia="Times New Roman" w:hAnsi="Times New Roman" w:cs="Times New Roman"/>
          <w:sz w:val="20"/>
          <w:szCs w:val="20"/>
          <w:lang w:eastAsia="de-DE"/>
        </w:rPr>
        <w:t xml:space="preserve">Diese Schaltung war vom Prinzip her nicht vorgesehen, Nachbau auf eigene Gefahr! </w:t>
      </w:r>
    </w:p>
    <w:p w:rsidR="007205B8" w:rsidRDefault="007205B8"/>
    <w:sectPr w:rsidR="007205B8" w:rsidSect="007205B8">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proofState w:spelling="clean" w:grammar="clean"/>
  <w:defaultTabStop w:val="708"/>
  <w:hyphenationZone w:val="425"/>
  <w:characterSpacingControl w:val="doNotCompress"/>
  <w:compat/>
  <w:rsids>
    <w:rsidRoot w:val="00E73A96"/>
    <w:rsid w:val="00606C79"/>
    <w:rsid w:val="007205B8"/>
    <w:rsid w:val="00E73A96"/>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05B8"/>
  </w:style>
  <w:style w:type="paragraph" w:styleId="berschrift1">
    <w:name w:val="heading 1"/>
    <w:basedOn w:val="Standard"/>
    <w:link w:val="berschrift1Zchn"/>
    <w:uiPriority w:val="9"/>
    <w:qFormat/>
    <w:rsid w:val="00E73A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E73A96"/>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73A96"/>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E73A96"/>
    <w:rPr>
      <w:rFonts w:ascii="Times New Roman" w:eastAsia="Times New Roman" w:hAnsi="Times New Roman" w:cs="Times New Roman"/>
      <w:b/>
      <w:bCs/>
      <w:sz w:val="36"/>
      <w:szCs w:val="36"/>
      <w:lang w:eastAsia="de-DE"/>
    </w:rPr>
  </w:style>
  <w:style w:type="paragraph" w:styleId="StandardWeb">
    <w:name w:val="Normal (Web)"/>
    <w:basedOn w:val="Standard"/>
    <w:uiPriority w:val="99"/>
    <w:semiHidden/>
    <w:unhideWhenUsed/>
    <w:rsid w:val="00E73A96"/>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E73A96"/>
    <w:rPr>
      <w:color w:val="0000FF"/>
      <w:u w:val="single"/>
    </w:rPr>
  </w:style>
  <w:style w:type="paragraph" w:styleId="Sprechblasentext">
    <w:name w:val="Balloon Text"/>
    <w:basedOn w:val="Standard"/>
    <w:link w:val="SprechblasentextZchn"/>
    <w:uiPriority w:val="99"/>
    <w:semiHidden/>
    <w:unhideWhenUsed/>
    <w:rsid w:val="00E73A9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73A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43328409">
      <w:bodyDiv w:val="1"/>
      <w:marLeft w:val="0"/>
      <w:marRight w:val="0"/>
      <w:marTop w:val="0"/>
      <w:marBottom w:val="0"/>
      <w:divBdr>
        <w:top w:val="none" w:sz="0" w:space="0" w:color="auto"/>
        <w:left w:val="none" w:sz="0" w:space="0" w:color="auto"/>
        <w:bottom w:val="none" w:sz="0" w:space="0" w:color="auto"/>
        <w:right w:val="none" w:sz="0" w:space="0" w:color="auto"/>
      </w:divBdr>
      <w:divsChild>
        <w:div w:id="1282227607">
          <w:marLeft w:val="0"/>
          <w:marRight w:val="0"/>
          <w:marTop w:val="0"/>
          <w:marBottom w:val="0"/>
          <w:divBdr>
            <w:top w:val="none" w:sz="0" w:space="0" w:color="auto"/>
            <w:left w:val="none" w:sz="0" w:space="0" w:color="auto"/>
            <w:bottom w:val="none" w:sz="0" w:space="0" w:color="auto"/>
            <w:right w:val="none" w:sz="0" w:space="0" w:color="auto"/>
          </w:divBdr>
        </w:div>
        <w:div w:id="1758208743">
          <w:marLeft w:val="0"/>
          <w:marRight w:val="0"/>
          <w:marTop w:val="0"/>
          <w:marBottom w:val="0"/>
          <w:divBdr>
            <w:top w:val="none" w:sz="0" w:space="0" w:color="auto"/>
            <w:left w:val="none" w:sz="0" w:space="0" w:color="auto"/>
            <w:bottom w:val="none" w:sz="0" w:space="0" w:color="auto"/>
            <w:right w:val="none" w:sz="0" w:space="0" w:color="auto"/>
          </w:divBdr>
        </w:div>
        <w:div w:id="214321361">
          <w:marLeft w:val="0"/>
          <w:marRight w:val="0"/>
          <w:marTop w:val="0"/>
          <w:marBottom w:val="0"/>
          <w:divBdr>
            <w:top w:val="none" w:sz="0" w:space="0" w:color="auto"/>
            <w:left w:val="none" w:sz="0" w:space="0" w:color="auto"/>
            <w:bottom w:val="none" w:sz="0" w:space="0" w:color="auto"/>
            <w:right w:val="none" w:sz="0" w:space="0" w:color="auto"/>
          </w:divBdr>
        </w:div>
        <w:div w:id="756025365">
          <w:marLeft w:val="0"/>
          <w:marRight w:val="0"/>
          <w:marTop w:val="0"/>
          <w:marBottom w:val="0"/>
          <w:divBdr>
            <w:top w:val="none" w:sz="0" w:space="0" w:color="auto"/>
            <w:left w:val="none" w:sz="0" w:space="0" w:color="auto"/>
            <w:bottom w:val="none" w:sz="0" w:space="0" w:color="auto"/>
            <w:right w:val="none" w:sz="0" w:space="0" w:color="auto"/>
          </w:divBdr>
          <w:divsChild>
            <w:div w:id="650601584">
              <w:marLeft w:val="0"/>
              <w:marRight w:val="0"/>
              <w:marTop w:val="0"/>
              <w:marBottom w:val="0"/>
              <w:divBdr>
                <w:top w:val="none" w:sz="0" w:space="0" w:color="auto"/>
                <w:left w:val="none" w:sz="0" w:space="0" w:color="auto"/>
                <w:bottom w:val="none" w:sz="0" w:space="0" w:color="auto"/>
                <w:right w:val="none" w:sz="0" w:space="0" w:color="auto"/>
              </w:divBdr>
            </w:div>
            <w:div w:id="1114247410">
              <w:marLeft w:val="0"/>
              <w:marRight w:val="0"/>
              <w:marTop w:val="0"/>
              <w:marBottom w:val="0"/>
              <w:divBdr>
                <w:top w:val="none" w:sz="0" w:space="0" w:color="auto"/>
                <w:left w:val="none" w:sz="0" w:space="0" w:color="auto"/>
                <w:bottom w:val="none" w:sz="0" w:space="0" w:color="auto"/>
                <w:right w:val="none" w:sz="0" w:space="0" w:color="auto"/>
              </w:divBdr>
            </w:div>
          </w:divsChild>
        </w:div>
        <w:div w:id="2084182537">
          <w:marLeft w:val="0"/>
          <w:marRight w:val="0"/>
          <w:marTop w:val="0"/>
          <w:marBottom w:val="0"/>
          <w:divBdr>
            <w:top w:val="none" w:sz="0" w:space="0" w:color="auto"/>
            <w:left w:val="none" w:sz="0" w:space="0" w:color="auto"/>
            <w:bottom w:val="none" w:sz="0" w:space="0" w:color="auto"/>
            <w:right w:val="none" w:sz="0" w:space="0" w:color="auto"/>
          </w:divBdr>
          <w:divsChild>
            <w:div w:id="3402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www.mennekes.de/390.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340</Words>
  <Characters>2142</Characters>
  <Application>Microsoft Office Word</Application>
  <DocSecurity>0</DocSecurity>
  <Lines>17</Lines>
  <Paragraphs>4</Paragraphs>
  <ScaleCrop>false</ScaleCrop>
  <Company/>
  <LinksUpToDate>false</LinksUpToDate>
  <CharactersWithSpaces>2478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c:creator>
  <cp:keywords/>
  <dc:description/>
  <cp:lastModifiedBy>Prince@</cp:lastModifiedBy>
  <cp:revision>1</cp:revision>
  <dcterms:created xsi:type="dcterms:W3CDTF">2012-11-17T21:20:00Z</dcterms:created>
  <dcterms:modified xsi:type="dcterms:W3CDTF">2012-11-17T21:23:00Z</dcterms:modified>
</cp:coreProperties>
</file>